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R4-2412717</w:t>
      </w:r>
      <w:bookmarkStart w:id="6" w:name="_GoBack"/>
      <w:bookmarkEnd w:id="6"/>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8</w:t>
      </w:r>
      <w:r>
        <w:rPr>
          <w:rFonts w:hint="eastAsia" w:ascii="Arial" w:hAnsi="Arial" w:cs="Arial"/>
          <w:b/>
          <w:sz w:val="24"/>
          <w:szCs w:val="24"/>
          <w:lang w:val="en-US" w:eastAsia="zh-CN"/>
        </w:rPr>
        <w:t>.25.3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requirements for NTN SAN in Rel-19 </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lang w:val="en-US" w:eastAsia="zh-CN"/>
        </w:rPr>
      </w:pPr>
      <w:r>
        <w:rPr>
          <w:rFonts w:hint="eastAsia"/>
          <w:lang w:val="en-US" w:eastAsia="zh-CN"/>
        </w:rPr>
        <w:t xml:space="preserve">In the RAN#102 meeting, </w:t>
      </w:r>
      <w:r>
        <w:rPr>
          <w:rFonts w:hint="eastAsia"/>
          <w:sz w:val="20"/>
          <w:szCs w:val="20"/>
          <w:lang w:val="en-US" w:eastAsia="zh-CN"/>
        </w:rPr>
        <w:t>New WID: Non-Terrestrial Networks (NTN) for NR Phase 3</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this contribution, we would like to share some initial views on RF requirements for regenerative NTN SAN.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b/>
                <w:color w:val="000000" w:themeColor="text1"/>
                <w:lang w:eastAsia="zh-CN"/>
                <w14:textFill>
                  <w14:solidFill>
                    <w14:schemeClr w14:val="tx1"/>
                  </w14:solidFill>
                </w14:textFill>
              </w:rPr>
            </w:pPr>
            <w:r>
              <w:rPr>
                <w:rFonts w:hint="default"/>
                <w:b/>
                <w:color w:val="000000" w:themeColor="text1"/>
                <w:u w:val="single"/>
                <w:lang w:eastAsia="ko-KR"/>
                <w14:textFill>
                  <w14:solidFill>
                    <w14:schemeClr w14:val="tx1"/>
                  </w14:solidFill>
                </w14:textFill>
              </w:rPr>
              <w:t>Issue 1-3-1:</w:t>
            </w:r>
            <w:r>
              <w:rPr>
                <w:rFonts w:hint="default"/>
                <w:b/>
                <w:color w:val="000000" w:themeColor="text1"/>
                <w:lang w:eastAsia="ko-KR"/>
                <w14:textFill>
                  <w14:solidFill>
                    <w14:schemeClr w14:val="tx1"/>
                  </w14:solidFill>
                </w14:textFill>
              </w:rPr>
              <w:t xml:space="preserve"> </w:t>
            </w:r>
            <w:r>
              <w:rPr>
                <w:rFonts w:hint="default"/>
                <w:b/>
                <w:color w:val="000000" w:themeColor="text1"/>
                <w:lang w:eastAsia="zh-CN"/>
                <w14:textFill>
                  <w14:solidFill>
                    <w14:schemeClr w14:val="tx1"/>
                  </w14:solidFill>
                </w14:textFill>
              </w:rPr>
              <w:t>Cell DTX</w:t>
            </w:r>
          </w:p>
          <w:p>
            <w:pPr>
              <w:keepNext w:val="0"/>
              <w:keepLines w:val="0"/>
              <w:suppressLineNumbers w:val="0"/>
              <w:spacing w:before="0" w:beforeAutospacing="0" w:afterAutospacing="0"/>
              <w:ind w:left="0" w:right="0"/>
              <w:rPr>
                <w:rFonts w:hint="default"/>
                <w:b/>
                <w:color w:val="000000" w:themeColor="text1"/>
                <w:u w:val="single"/>
                <w:lang w:eastAsia="ko-KR"/>
                <w14:textFill>
                  <w14:solidFill>
                    <w14:schemeClr w14:val="tx1"/>
                  </w14:solidFill>
                </w14:textFill>
              </w:rPr>
            </w:pPr>
            <w:r>
              <w:rPr>
                <w:rFonts w:hint="default"/>
                <w:b/>
                <w:color w:val="000000" w:themeColor="text1"/>
                <w:u w:val="single"/>
                <w:lang w:eastAsia="ko-KR"/>
                <w14:textFill>
                  <w14:solidFill>
                    <w14:schemeClr w14:val="tx1"/>
                  </w14:solidFill>
                </w14:textFill>
              </w:rPr>
              <w:t>Issue 1-3-2:</w:t>
            </w:r>
            <w:r>
              <w:rPr>
                <w:rFonts w:hint="default"/>
                <w:b/>
                <w:color w:val="000000" w:themeColor="text1"/>
                <w:lang w:eastAsia="ko-KR"/>
                <w14:textFill>
                  <w14:solidFill>
                    <w14:schemeClr w14:val="tx1"/>
                  </w14:solidFill>
                </w14:textFill>
              </w:rPr>
              <w:t xml:space="preserve"> </w:t>
            </w:r>
            <w:r>
              <w:rPr>
                <w:rFonts w:hint="default"/>
                <w:b/>
                <w:color w:val="000000" w:themeColor="text1"/>
                <w:lang w:eastAsia="zh-CN"/>
                <w14:textFill>
                  <w14:solidFill>
                    <w14:schemeClr w14:val="tx1"/>
                  </w14:solidFill>
                </w14:textFill>
              </w:rPr>
              <w:t>RF requirements enhancements for spatial domain techniques</w:t>
            </w:r>
          </w:p>
          <w:p>
            <w:pPr>
              <w:pStyle w:val="36"/>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color w:val="000000" w:themeColor="text1"/>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Agreement: companies encourage to further investigate SAN beam hopping in DL coverage enhancements for both FR1 and FR2</w:t>
            </w:r>
          </w:p>
          <w:p>
            <w:pPr>
              <w:pStyle w:val="36"/>
              <w:keepNext w:val="0"/>
              <w:keepLines w:val="0"/>
              <w:numPr>
                <w:ilvl w:val="1"/>
                <w:numId w:val="2"/>
              </w:numPr>
              <w:suppressLineNumbers w:val="0"/>
              <w:overflowPunct/>
              <w:autoSpaceDE/>
              <w:autoSpaceDN/>
              <w:adjustRightInd/>
              <w:spacing w:before="0" w:beforeAutospacing="0" w:after="120" w:afterAutospacing="0"/>
              <w:ind w:right="0" w:firstLineChars="0"/>
              <w:textAlignment w:val="auto"/>
              <w:rPr>
                <w:rFonts w:hint="default"/>
                <w:color w:val="000000" w:themeColor="text1"/>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c</w:t>
            </w:r>
            <w:r>
              <w:rPr>
                <w:rFonts w:hint="default" w:eastAsia="宋体"/>
                <w:color w:val="000000" w:themeColor="text1"/>
                <w:szCs w:val="24"/>
                <w:highlight w:val="yellow"/>
                <w:lang w:eastAsia="zh-CN"/>
                <w14:textFill>
                  <w14:solidFill>
                    <w14:schemeClr w14:val="tx1"/>
                  </w14:solidFill>
                </w14:textFill>
              </w:rPr>
              <w:t>larify “transient time” meaning, if for beam switching delay or PA switch ON/OFF or frequency carrier.</w:t>
            </w:r>
          </w:p>
          <w:p>
            <w:pPr>
              <w:pStyle w:val="36"/>
              <w:keepNext w:val="0"/>
              <w:keepLines w:val="0"/>
              <w:numPr>
                <w:ilvl w:val="1"/>
                <w:numId w:val="2"/>
              </w:numPr>
              <w:suppressLineNumbers w:val="0"/>
              <w:overflowPunct/>
              <w:autoSpaceDE/>
              <w:autoSpaceDN/>
              <w:adjustRightInd/>
              <w:spacing w:before="0" w:beforeAutospacing="0" w:after="120" w:afterAutospacing="0"/>
              <w:ind w:right="0" w:firstLineChars="0"/>
              <w:textAlignment w:val="auto"/>
              <w:rPr>
                <w:rFonts w:hint="default"/>
                <w:color w:val="000000" w:themeColor="text1"/>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Synchronisation aspects:</w:t>
            </w:r>
          </w:p>
          <w:p>
            <w:pPr>
              <w:pStyle w:val="36"/>
              <w:keepNext w:val="0"/>
              <w:keepLines w:val="0"/>
              <w:numPr>
                <w:ilvl w:val="2"/>
                <w:numId w:val="2"/>
              </w:numPr>
              <w:suppressLineNumbers w:val="0"/>
              <w:overflowPunct/>
              <w:autoSpaceDE/>
              <w:autoSpaceDN/>
              <w:adjustRightInd/>
              <w:spacing w:before="0" w:beforeAutospacing="0" w:after="120" w:afterAutospacing="0"/>
              <w:ind w:right="0" w:firstLineChars="0"/>
              <w:textAlignment w:val="auto"/>
              <w:rPr>
                <w:rFonts w:hint="default"/>
                <w:color w:val="000000" w:themeColor="text1"/>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between ground gNB and satellite payload for transparent architecture;</w:t>
            </w:r>
          </w:p>
          <w:p>
            <w:pPr>
              <w:pStyle w:val="36"/>
              <w:keepNext w:val="0"/>
              <w:keepLines w:val="0"/>
              <w:numPr>
                <w:ilvl w:val="2"/>
                <w:numId w:val="2"/>
              </w:numPr>
              <w:suppressLineNumbers w:val="0"/>
              <w:overflowPunct/>
              <w:autoSpaceDE/>
              <w:autoSpaceDN/>
              <w:adjustRightInd/>
              <w:spacing w:before="0" w:beforeAutospacing="0" w:after="120" w:afterAutospacing="0"/>
              <w:ind w:right="0" w:firstLineChars="0"/>
              <w:textAlignment w:val="auto"/>
              <w:rPr>
                <w:rFonts w:hint="default"/>
                <w:color w:val="000000" w:themeColor="text1"/>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between two or more transparent satellites serving the same Earth-fixed cell. FFS for Earth-moving cell.</w:t>
            </w:r>
          </w:p>
          <w:p>
            <w:pPr>
              <w:pStyle w:val="36"/>
              <w:keepNext w:val="0"/>
              <w:keepLines w:val="0"/>
              <w:numPr>
                <w:ilvl w:val="1"/>
                <w:numId w:val="2"/>
              </w:numPr>
              <w:suppressLineNumbers w:val="0"/>
              <w:overflowPunct/>
              <w:autoSpaceDE/>
              <w:autoSpaceDN/>
              <w:adjustRightInd/>
              <w:spacing w:before="0" w:beforeAutospacing="0" w:after="120" w:afterAutospacing="0"/>
              <w:ind w:right="0" w:firstLineChars="0"/>
              <w:textAlignment w:val="auto"/>
              <w:rPr>
                <w:rFonts w:hint="default"/>
                <w:color w:val="000000" w:themeColor="text1"/>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NOTE: FFS if above issue could be treated as requirement or implementation specific.</w:t>
            </w:r>
          </w:p>
          <w:p>
            <w:pPr>
              <w:pStyle w:val="36"/>
              <w:keepNext w:val="0"/>
              <w:keepLines w:val="0"/>
              <w:numPr>
                <w:ilvl w:val="0"/>
                <w:numId w:val="2"/>
              </w:numPr>
              <w:suppressLineNumbers w:val="0"/>
              <w:overflowPunct/>
              <w:autoSpaceDE/>
              <w:autoSpaceDN/>
              <w:adjustRightInd/>
              <w:spacing w:before="0" w:beforeAutospacing="0" w:after="120" w:afterAutospacing="0"/>
              <w:ind w:left="720" w:right="0" w:firstLineChars="0"/>
              <w:textAlignment w:val="auto"/>
              <w:rPr>
                <w:rFonts w:hint="default"/>
                <w:color w:val="000000" w:themeColor="text1"/>
                <w:lang w:eastAsia="zh-CN"/>
                <w14:textFill>
                  <w14:solidFill>
                    <w14:schemeClr w14:val="tx1"/>
                  </w14:solidFill>
                </w14:textFill>
              </w:rPr>
            </w:pPr>
            <w:r>
              <w:rPr>
                <w:rFonts w:hint="default" w:eastAsia="宋体"/>
                <w:color w:val="000000" w:themeColor="text1"/>
                <w:szCs w:val="24"/>
                <w:lang w:eastAsia="zh-CN"/>
                <w14:textFill>
                  <w14:solidFill>
                    <w14:schemeClr w14:val="tx1"/>
                  </w14:solidFill>
                </w14:textFill>
              </w:rPr>
              <w:t>Working hypothesis: PA always on, phase shift (pre-)reconfiguration to perform beam-hopping.</w:t>
            </w:r>
          </w:p>
          <w:p>
            <w:pPr>
              <w:pStyle w:val="36"/>
              <w:keepNext w:val="0"/>
              <w:keepLines w:val="0"/>
              <w:numPr>
                <w:ilvl w:val="1"/>
                <w:numId w:val="2"/>
              </w:numPr>
              <w:suppressLineNumbers w:val="0"/>
              <w:overflowPunct/>
              <w:autoSpaceDE/>
              <w:autoSpaceDN/>
              <w:adjustRightInd/>
              <w:spacing w:before="0" w:beforeAutospacing="0" w:after="120" w:afterAutospacing="0"/>
              <w:ind w:right="0" w:firstLineChars="0"/>
              <w:textAlignment w:val="auto"/>
              <w:rPr>
                <w:rFonts w:hint="default"/>
                <w:color w:val="000000" w:themeColor="text1"/>
                <w:lang w:eastAsia="zh-CN"/>
                <w14:textFill>
                  <w14:solidFill>
                    <w14:schemeClr w14:val="tx1"/>
                  </w14:solidFill>
                </w14:textFill>
              </w:rPr>
            </w:pPr>
            <w:r>
              <w:rPr>
                <w:rFonts w:hint="default"/>
                <w:b/>
                <w:bCs/>
                <w:color w:val="000000" w:themeColor="text1"/>
                <w:lang w:eastAsia="zh-CN"/>
                <w14:textFill>
                  <w14:solidFill>
                    <w14:schemeClr w14:val="tx1"/>
                  </w14:solidFill>
                </w14:textFill>
              </w:rPr>
              <w:t>NOTE1: [RAN1 agreement]</w:t>
            </w:r>
            <w:r>
              <w:rPr>
                <w:rFonts w:hint="default"/>
                <w:color w:val="000000" w:themeColor="text1"/>
                <w:lang w:eastAsia="zh-CN"/>
                <w14:textFill>
                  <w14:solidFill>
                    <w14:schemeClr w14:val="tx1"/>
                  </w14:solidFill>
                </w14:textFill>
              </w:rPr>
              <w:t xml:space="preserve"> For NR NTN Rel-19 DL coverage evaluation, a value of beam steering latency equal to zero at least if SAN phase array antenna is assumed. Values different from zero beam steering latency can be optionally reported by companies if any potential issue identified.</w:t>
            </w:r>
          </w:p>
          <w:p>
            <w:pPr>
              <w:pStyle w:val="36"/>
              <w:keepNext w:val="0"/>
              <w:keepLines w:val="0"/>
              <w:numPr>
                <w:ilvl w:val="1"/>
                <w:numId w:val="2"/>
              </w:numPr>
              <w:suppressLineNumbers w:val="0"/>
              <w:overflowPunct/>
              <w:autoSpaceDE/>
              <w:autoSpaceDN/>
              <w:adjustRightInd/>
              <w:spacing w:before="0" w:beforeAutospacing="0" w:after="120" w:afterAutospacing="0"/>
              <w:ind w:right="0" w:firstLineChars="0"/>
              <w:textAlignment w:val="auto"/>
              <w:rPr>
                <w:rFonts w:hint="default"/>
                <w:vertAlign w:val="baseline"/>
                <w:lang w:val="en-US" w:eastAsia="zh-CN"/>
              </w:rPr>
            </w:pPr>
            <w:r>
              <w:rPr>
                <w:rFonts w:hint="default"/>
                <w:b/>
                <w:bCs/>
                <w:color w:val="000000" w:themeColor="text1"/>
                <w:lang w:eastAsia="zh-CN"/>
                <w14:textFill>
                  <w14:solidFill>
                    <w14:schemeClr w14:val="tx1"/>
                  </w14:solidFill>
                </w14:textFill>
              </w:rPr>
              <w:t>NOTE2:</w:t>
            </w:r>
            <w:r>
              <w:rPr>
                <w:rFonts w:hint="default"/>
                <w:color w:val="000000" w:themeColor="text1"/>
                <w:lang w:eastAsia="zh-CN"/>
                <w14:textFill>
                  <w14:solidFill>
                    <w14:schemeClr w14:val="tx1"/>
                  </w14:solidFill>
                </w14:textFill>
              </w:rPr>
              <w:t xml:space="preserve"> Other implementation with analog beam steering technologies are not precluded. Companies to further discuss if analog/digital antenna assumptions and for which FR1/FR2 implementations.</w:t>
            </w:r>
          </w:p>
        </w:tc>
      </w:tr>
    </w:tbl>
    <w:p>
      <w:pPr>
        <w:pStyle w:val="57"/>
        <w:tabs>
          <w:tab w:val="left" w:pos="567"/>
          <w:tab w:val="clear" w:pos="1985"/>
        </w:tabs>
        <w:adjustRightInd w:val="0"/>
        <w:ind w:left="510" w:hanging="510"/>
        <w:rPr>
          <w:rFonts w:eastAsia="Times New Roman"/>
        </w:rPr>
      </w:pPr>
      <w:bookmarkStart w:id="1" w:name="OLE_LINK10"/>
      <w:bookmarkStart w:id="2" w:name="OLE_LINK20"/>
      <w:bookmarkStart w:id="3" w:name="OLE_LINK14"/>
      <w:bookmarkStart w:id="4" w:name="OLE_LINK13"/>
      <w:r>
        <w:rPr>
          <w:rFonts w:hint="eastAsia"/>
          <w:lang w:val="en-US" w:eastAsia="zh-CN"/>
        </w:rPr>
        <w:t>Discussion</w:t>
      </w:r>
      <w:r>
        <w:rPr>
          <w:rFonts w:hint="eastAsia" w:eastAsia="Times New Roman"/>
        </w:rPr>
        <w:t xml:space="preserve"> </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outlineLvl w:val="1"/>
        <w:rPr>
          <w:rFonts w:hint="default" w:ascii="Arial" w:hAnsi="Arial" w:cs="Arial"/>
          <w:sz w:val="28"/>
          <w:szCs w:val="28"/>
          <w:lang w:val="en-US" w:eastAsia="zh-CN"/>
        </w:rPr>
      </w:pPr>
      <w:bookmarkStart w:id="5" w:name="_Hlk500328328"/>
      <w:r>
        <w:rPr>
          <w:rFonts w:hint="default" w:ascii="Arial" w:hAnsi="Arial" w:cs="Arial"/>
          <w:sz w:val="28"/>
          <w:szCs w:val="28"/>
          <w:lang w:val="en-US" w:eastAsia="zh-CN"/>
        </w:rPr>
        <w:t>2.</w:t>
      </w:r>
      <w:r>
        <w:rPr>
          <w:rFonts w:hint="eastAsia" w:ascii="Arial" w:hAnsi="Arial" w:cs="Arial"/>
          <w:sz w:val="28"/>
          <w:szCs w:val="28"/>
          <w:lang w:val="en-US" w:eastAsia="zh-CN"/>
        </w:rPr>
        <w:t>2</w:t>
      </w:r>
      <w:r>
        <w:rPr>
          <w:rFonts w:hint="default" w:ascii="Arial" w:hAnsi="Arial" w:cs="Arial"/>
          <w:sz w:val="28"/>
          <w:szCs w:val="28"/>
          <w:lang w:val="en-US" w:eastAsia="zh-CN"/>
        </w:rPr>
        <w:t>.</w:t>
      </w:r>
      <w:r>
        <w:rPr>
          <w:rFonts w:hint="eastAsia" w:ascii="Arial" w:hAnsi="Arial" w:cs="Arial"/>
          <w:sz w:val="28"/>
          <w:szCs w:val="28"/>
          <w:lang w:val="en-US" w:eastAsia="zh-CN"/>
        </w:rPr>
        <w:t>DL coverage enhancements for FR1-NTN or FR2-NTN</w:t>
      </w:r>
    </w:p>
    <w:p>
      <w:pPr>
        <w:jc w:val="left"/>
        <w:rPr>
          <w:rFonts w:hint="eastAsia" w:eastAsiaTheme="minorEastAsia"/>
          <w:lang w:val="en-US" w:eastAsia="zh-CN"/>
        </w:rPr>
      </w:pPr>
      <w:r>
        <w:rPr>
          <w:rFonts w:hint="eastAsia" w:eastAsiaTheme="minorEastAsia"/>
          <w:lang w:val="en-US" w:eastAsia="zh-CN"/>
        </w:rPr>
        <w:t>During the last RAN4 meeting, there were some further discussions on beam hopping, at least the following two understandings were confirmed.</w:t>
      </w:r>
    </w:p>
    <w:p>
      <w:pPr>
        <w:numPr>
          <w:ilvl w:val="0"/>
          <w:numId w:val="3"/>
        </w:numPr>
        <w:jc w:val="left"/>
        <w:rPr>
          <w:rFonts w:hint="default" w:eastAsiaTheme="minorEastAsia"/>
          <w:lang w:val="en-US" w:eastAsia="zh-CN"/>
        </w:rPr>
      </w:pPr>
      <w:r>
        <w:rPr>
          <w:rFonts w:hint="eastAsia" w:eastAsiaTheme="minorEastAsia"/>
          <w:lang w:val="en-US" w:eastAsia="zh-CN"/>
        </w:rPr>
        <w:t xml:space="preserve">Beam steering, SAN could adjust the analog phase shifter or digital beamforming weighting factors which is quite similar as legacy FR1/FR2 NR BS beam sweeping; </w:t>
      </w:r>
    </w:p>
    <w:p>
      <w:pPr>
        <w:numPr>
          <w:ilvl w:val="0"/>
          <w:numId w:val="3"/>
        </w:numPr>
        <w:jc w:val="left"/>
        <w:rPr>
          <w:rFonts w:hint="default" w:eastAsiaTheme="minorEastAsia"/>
          <w:lang w:val="en-US" w:eastAsia="zh-CN"/>
        </w:rPr>
      </w:pPr>
      <w:r>
        <w:rPr>
          <w:rFonts w:hint="eastAsia" w:eastAsiaTheme="minorEastAsia"/>
          <w:lang w:val="en-US" w:eastAsia="zh-CN"/>
        </w:rPr>
        <w:t xml:space="preserve">Beam reshaping, this is somehow new compared with beam steering concept. Beam reshaping could be either done by reconfiguring the weighting factors for each antenna elements or sub-array or reconfiguring different antenna array size to change the beam pattern.  </w:t>
      </w:r>
    </w:p>
    <w:p>
      <w:pPr>
        <w:jc w:val="left"/>
        <w:rPr>
          <w:rFonts w:hint="eastAsia" w:eastAsiaTheme="minorEastAsia"/>
          <w:lang w:val="en-US" w:eastAsia="zh-CN"/>
        </w:rPr>
      </w:pPr>
      <w:r>
        <w:rPr>
          <w:rFonts w:hint="eastAsia" w:eastAsiaTheme="minorEastAsia"/>
          <w:lang w:val="en-US" w:eastAsia="zh-CN"/>
        </w:rPr>
        <w:t xml:space="preserve">For beam switching delay for FR1-NTN or FR2-NTN for beam hopping, from our understanding, beam switching delay for FR2-NTN could be around 100ns and FR1-NTN and FR2-NTN.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612390" cy="2388870"/>
            <wp:effectExtent l="0" t="0" r="16510" b="1143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a:stretch>
                      <a:fillRect/>
                    </a:stretch>
                  </pic:blipFill>
                  <pic:spPr>
                    <a:xfrm>
                      <a:off x="0" y="0"/>
                      <a:ext cx="2612390" cy="2388870"/>
                    </a:xfrm>
                    <a:prstGeom prst="rect">
                      <a:avLst/>
                    </a:prstGeom>
                    <a:noFill/>
                    <a:ln w="9525">
                      <a:noFill/>
                    </a:ln>
                  </pic:spPr>
                </pic:pic>
              </a:graphicData>
            </a:graphic>
          </wp:inline>
        </w:drawing>
      </w:r>
    </w:p>
    <w:p>
      <w:pPr>
        <w:jc w:val="center"/>
        <w:rPr>
          <w:rFonts w:hint="eastAsia" w:eastAsiaTheme="minorEastAsia"/>
          <w:lang w:val="en-US" w:eastAsia="zh-CN"/>
        </w:rPr>
      </w:pPr>
      <w:r>
        <w:rPr>
          <w:rFonts w:hint="eastAsia" w:eastAsiaTheme="minorEastAsia"/>
          <w:lang w:val="en-US" w:eastAsia="zh-CN"/>
        </w:rPr>
        <w:t>Figure 1. the illustration of beam hopping</w:t>
      </w:r>
    </w:p>
    <w:p>
      <w:pPr>
        <w:jc w:val="left"/>
        <w:rPr>
          <w:rFonts w:hint="eastAsia" w:eastAsiaTheme="minorEastAsia"/>
          <w:lang w:val="en-US" w:eastAsia="zh-CN"/>
        </w:rPr>
      </w:pPr>
      <w:r>
        <w:rPr>
          <w:rFonts w:hint="eastAsia" w:eastAsiaTheme="minorEastAsia"/>
          <w:b/>
          <w:bCs/>
          <w:lang w:val="en-US" w:eastAsia="zh-CN"/>
        </w:rPr>
        <w:t>Proposal 1</w:t>
      </w:r>
      <w:r>
        <w:rPr>
          <w:rFonts w:hint="eastAsia" w:eastAsiaTheme="minorEastAsia"/>
          <w:lang w:val="en-US" w:eastAsia="zh-CN"/>
        </w:rPr>
        <w:t xml:space="preserve">: regarding beam switching delay for beam hopping for beam sweeping, the beam switching delay would be around 100ns. </w:t>
      </w:r>
    </w:p>
    <w:p>
      <w:pPr>
        <w:jc w:val="left"/>
        <w:rPr>
          <w:rFonts w:hint="default" w:eastAsiaTheme="minorEastAsia"/>
          <w:lang w:val="en-US" w:eastAsia="zh-CN"/>
        </w:rPr>
      </w:pPr>
      <w:r>
        <w:rPr>
          <w:rFonts w:hint="eastAsia" w:eastAsiaTheme="minorEastAsia"/>
          <w:lang w:val="en-US" w:eastAsia="zh-CN"/>
        </w:rPr>
        <w:t xml:space="preserve">In addition, regarding the cell DTX for SAN, from our understanding, cell DTX could be conducted by beam hopping. In other words, we only need to focus on the transition period for beam hopping behavior regardless from beam sweeping or beam reshaping. </w:t>
      </w:r>
    </w:p>
    <w:bookmarkEnd w:id="1"/>
    <w:bookmarkEnd w:id="2"/>
    <w:bookmarkEnd w:id="3"/>
    <w:bookmarkEnd w:id="4"/>
    <w:bookmarkEnd w:id="5"/>
    <w:p>
      <w:pPr>
        <w:pStyle w:val="57"/>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regenerative NTN SAN in Rel-19 and proposals are made as following: </w:t>
      </w:r>
    </w:p>
    <w:p>
      <w:pPr>
        <w:jc w:val="left"/>
        <w:rPr>
          <w:rFonts w:hint="default" w:eastAsiaTheme="minorEastAsia"/>
          <w:lang w:val="en-US" w:eastAsia="zh-CN"/>
        </w:rPr>
      </w:pPr>
      <w:r>
        <w:rPr>
          <w:rFonts w:hint="eastAsia" w:eastAsiaTheme="minorEastAsia"/>
          <w:b/>
          <w:bCs/>
          <w:lang w:val="en-US" w:eastAsia="zh-CN"/>
        </w:rPr>
        <w:t>Proposal 1</w:t>
      </w:r>
      <w:r>
        <w:rPr>
          <w:rFonts w:hint="eastAsia" w:eastAsiaTheme="minorEastAsia"/>
          <w:lang w:val="en-US" w:eastAsia="zh-CN"/>
        </w:rPr>
        <w:t xml:space="preserve">: regarding beam switching delay for beam hopping for beam sweeping, the beam switching delay would be around 100ns. </w:t>
      </w:r>
    </w:p>
    <w:p>
      <w:pPr>
        <w:pStyle w:val="57"/>
        <w:tabs>
          <w:tab w:val="left" w:pos="567"/>
          <w:tab w:val="clear" w:pos="1985"/>
        </w:tabs>
        <w:adjustRightInd w:val="0"/>
        <w:ind w:left="510" w:hanging="510"/>
      </w:pPr>
      <w:r>
        <w:t>References</w:t>
      </w:r>
    </w:p>
    <w:p>
      <w:pPr>
        <w:pStyle w:val="55"/>
        <w:numPr>
          <w:ilvl w:val="0"/>
          <w:numId w:val="4"/>
        </w:numPr>
        <w:rPr>
          <w:rFonts w:hint="eastAsia" w:eastAsia="宋体"/>
          <w:sz w:val="20"/>
          <w:szCs w:val="20"/>
          <w:lang w:val="en-US" w:eastAsia="zh-CN"/>
        </w:rPr>
      </w:pPr>
      <w:r>
        <w:rPr>
          <w:rFonts w:hint="eastAsia" w:eastAsia="宋体"/>
          <w:sz w:val="20"/>
          <w:szCs w:val="20"/>
        </w:rPr>
        <w:t>RP-234078</w:t>
      </w:r>
      <w:r>
        <w:rPr>
          <w:rFonts w:hint="eastAsia" w:eastAsia="宋体"/>
          <w:sz w:val="20"/>
          <w:szCs w:val="20"/>
          <w:lang w:val="en-US" w:eastAsia="zh-CN"/>
        </w:rPr>
        <w:t>,New WID: Non-Terrestrial Networks (NTN) for NR Phase 3, Thales,CATT, Approved.</w:t>
      </w:r>
    </w:p>
    <w:p>
      <w:pPr>
        <w:pStyle w:val="55"/>
        <w:numPr>
          <w:ilvl w:val="0"/>
          <w:numId w:val="4"/>
        </w:numPr>
        <w:rPr>
          <w:rFonts w:hint="eastAsia" w:eastAsia="宋体"/>
          <w:sz w:val="20"/>
          <w:szCs w:val="20"/>
          <w:lang w:val="en-US" w:eastAsia="zh-CN"/>
        </w:rPr>
      </w:pPr>
      <w:r>
        <w:rPr>
          <w:rFonts w:hint="eastAsia" w:eastAsia="宋体"/>
          <w:sz w:val="20"/>
          <w:szCs w:val="20"/>
        </w:rPr>
        <w:t>R4-2406109</w:t>
      </w:r>
      <w:r>
        <w:rPr>
          <w:rFonts w:hint="eastAsia" w:eastAsia="宋体"/>
          <w:sz w:val="20"/>
          <w:szCs w:val="20"/>
          <w:lang w:val="en-US" w:eastAsia="zh-CN"/>
        </w:rPr>
        <w:t xml:space="preserve">, </w:t>
      </w:r>
      <w:r>
        <w:rPr>
          <w:rFonts w:hint="eastAsia" w:eastAsia="宋体"/>
          <w:sz w:val="20"/>
          <w:szCs w:val="20"/>
        </w:rPr>
        <w:t>Way Forward for [110bis][315] NR_NTN_Ph3</w:t>
      </w:r>
      <w:r>
        <w:rPr>
          <w:rFonts w:hint="eastAsia" w:eastAsia="宋体"/>
          <w:sz w:val="20"/>
          <w:szCs w:val="20"/>
          <w:lang w:val="en-US" w:eastAsia="zh-CN"/>
        </w:rPr>
        <w:t>, Thales. Approved.</w:t>
      </w:r>
    </w:p>
    <w:p>
      <w:pPr>
        <w:pStyle w:val="55"/>
        <w:numPr>
          <w:ilvl w:val="0"/>
          <w:numId w:val="4"/>
        </w:numPr>
        <w:rPr>
          <w:rFonts w:hint="eastAsia"/>
          <w:sz w:val="20"/>
          <w:szCs w:val="20"/>
          <w:lang w:val="en-US" w:eastAsia="zh-CN"/>
        </w:rPr>
      </w:pPr>
      <w:r>
        <w:rPr>
          <w:rFonts w:hint="eastAsia" w:eastAsia="宋体"/>
          <w:sz w:val="20"/>
          <w:szCs w:val="20"/>
        </w:rPr>
        <w:t>R4-2410009</w:t>
      </w:r>
      <w:r>
        <w:rPr>
          <w:rFonts w:hint="eastAsia"/>
          <w:sz w:val="20"/>
          <w:szCs w:val="20"/>
          <w:lang w:val="en-US" w:eastAsia="zh-CN"/>
        </w:rPr>
        <w:t xml:space="preserve">, </w:t>
      </w:r>
      <w:r>
        <w:rPr>
          <w:rFonts w:hint="eastAsia" w:eastAsia="宋体"/>
          <w:sz w:val="20"/>
          <w:szCs w:val="20"/>
        </w:rPr>
        <w:t>Way Forward for [111][315] NR_NTN_Ph3</w:t>
      </w:r>
      <w:r>
        <w:rPr>
          <w:rFonts w:hint="eastAsia"/>
          <w:sz w:val="20"/>
          <w:szCs w:val="20"/>
          <w:lang w:val="en-US" w:eastAsia="zh-CN"/>
        </w:rPr>
        <w:t>, Approved.</w:t>
      </w:r>
    </w:p>
    <w:p>
      <w:pPr>
        <w:pStyle w:val="55"/>
        <w:numPr>
          <w:ilvl w:val="0"/>
          <w:numId w:val="0"/>
        </w:numPr>
        <w:rPr>
          <w:rFonts w:hint="eastAsia" w:eastAsia="宋体"/>
          <w:sz w:val="20"/>
          <w:szCs w:val="20"/>
        </w:rPr>
      </w:pPr>
    </w:p>
    <w:p>
      <w:pPr>
        <w:pStyle w:val="55"/>
        <w:numPr>
          <w:ilvl w:val="-1"/>
          <w:numId w:val="0"/>
        </w:numPr>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5592DD"/>
    <w:multiLevelType w:val="singleLevel"/>
    <w:tmpl w:val="905592DD"/>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016A"/>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241B8C"/>
    <w:rsid w:val="022533D4"/>
    <w:rsid w:val="02293A2A"/>
    <w:rsid w:val="022D2A1C"/>
    <w:rsid w:val="022D5BF3"/>
    <w:rsid w:val="022F6559"/>
    <w:rsid w:val="022F66E0"/>
    <w:rsid w:val="023635A6"/>
    <w:rsid w:val="0238292F"/>
    <w:rsid w:val="0239532D"/>
    <w:rsid w:val="023A0A2B"/>
    <w:rsid w:val="023E7088"/>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251"/>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B2A2B"/>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23926"/>
    <w:rsid w:val="0444143C"/>
    <w:rsid w:val="0444783F"/>
    <w:rsid w:val="044753DC"/>
    <w:rsid w:val="045835A5"/>
    <w:rsid w:val="045C0E21"/>
    <w:rsid w:val="045E1DEE"/>
    <w:rsid w:val="045F0F0B"/>
    <w:rsid w:val="045F23BF"/>
    <w:rsid w:val="045F4253"/>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D5A99"/>
    <w:rsid w:val="04F41E77"/>
    <w:rsid w:val="04FB4499"/>
    <w:rsid w:val="04FD09E6"/>
    <w:rsid w:val="04FF76AB"/>
    <w:rsid w:val="05010225"/>
    <w:rsid w:val="051034CD"/>
    <w:rsid w:val="051F43BC"/>
    <w:rsid w:val="052432F7"/>
    <w:rsid w:val="05280A89"/>
    <w:rsid w:val="052A278C"/>
    <w:rsid w:val="052D14A7"/>
    <w:rsid w:val="05367F8C"/>
    <w:rsid w:val="053C34DE"/>
    <w:rsid w:val="053E1AC2"/>
    <w:rsid w:val="053E6829"/>
    <w:rsid w:val="05403ABE"/>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B5AB9"/>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05D73"/>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D22AC"/>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54E8D"/>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35283"/>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45089"/>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06DC0"/>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1098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0268F"/>
    <w:rsid w:val="0C2966B3"/>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6245C"/>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96719"/>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752A8"/>
    <w:rsid w:val="0F087675"/>
    <w:rsid w:val="0F0D240A"/>
    <w:rsid w:val="0F0E2F3A"/>
    <w:rsid w:val="0F12247A"/>
    <w:rsid w:val="0F1B3382"/>
    <w:rsid w:val="0F1D0ECD"/>
    <w:rsid w:val="0F2D7701"/>
    <w:rsid w:val="0F32645C"/>
    <w:rsid w:val="0F3452E0"/>
    <w:rsid w:val="0F362C24"/>
    <w:rsid w:val="0F364BC2"/>
    <w:rsid w:val="0F364BCB"/>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77D15"/>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635B2"/>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7F37BE"/>
    <w:rsid w:val="12845278"/>
    <w:rsid w:val="12863AEA"/>
    <w:rsid w:val="128B7C40"/>
    <w:rsid w:val="128C036A"/>
    <w:rsid w:val="128E70AD"/>
    <w:rsid w:val="129535C1"/>
    <w:rsid w:val="129D41B7"/>
    <w:rsid w:val="12A407A1"/>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1B1F"/>
    <w:rsid w:val="15C02C76"/>
    <w:rsid w:val="15C4476E"/>
    <w:rsid w:val="15C61DCD"/>
    <w:rsid w:val="15D4474D"/>
    <w:rsid w:val="15D7597F"/>
    <w:rsid w:val="15E32BB5"/>
    <w:rsid w:val="15F53F0F"/>
    <w:rsid w:val="16014658"/>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E68D9"/>
    <w:rsid w:val="16C066C7"/>
    <w:rsid w:val="16C2724F"/>
    <w:rsid w:val="16C41FCF"/>
    <w:rsid w:val="16C455CB"/>
    <w:rsid w:val="16D1041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C4414"/>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F7763"/>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CE2DCF"/>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BC650F"/>
    <w:rsid w:val="1DC254A8"/>
    <w:rsid w:val="1DC603E1"/>
    <w:rsid w:val="1DCA7C29"/>
    <w:rsid w:val="1DEC45ED"/>
    <w:rsid w:val="1DF2745E"/>
    <w:rsid w:val="1DF36BBF"/>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EF220FA"/>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315FD"/>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CE249F"/>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50A1F"/>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F7E39"/>
    <w:rsid w:val="2163647D"/>
    <w:rsid w:val="216C54DE"/>
    <w:rsid w:val="216E4095"/>
    <w:rsid w:val="217106CC"/>
    <w:rsid w:val="21741E6D"/>
    <w:rsid w:val="217C7971"/>
    <w:rsid w:val="217D44BC"/>
    <w:rsid w:val="217E1B07"/>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7025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15F4"/>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4E6C"/>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27207"/>
    <w:rsid w:val="25357E1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A5E6A"/>
    <w:rsid w:val="277E547B"/>
    <w:rsid w:val="278A6416"/>
    <w:rsid w:val="279408D2"/>
    <w:rsid w:val="279A2ED3"/>
    <w:rsid w:val="27A23025"/>
    <w:rsid w:val="27A46397"/>
    <w:rsid w:val="27B02558"/>
    <w:rsid w:val="27B027C6"/>
    <w:rsid w:val="27B03EC1"/>
    <w:rsid w:val="27B91021"/>
    <w:rsid w:val="27BA3133"/>
    <w:rsid w:val="27C06D17"/>
    <w:rsid w:val="27C66099"/>
    <w:rsid w:val="27CA7CDA"/>
    <w:rsid w:val="27D75B9B"/>
    <w:rsid w:val="27DF1D24"/>
    <w:rsid w:val="27E30D7E"/>
    <w:rsid w:val="27E43C95"/>
    <w:rsid w:val="27F20EFC"/>
    <w:rsid w:val="27FB11A8"/>
    <w:rsid w:val="27FE4240"/>
    <w:rsid w:val="27FF2D7D"/>
    <w:rsid w:val="280008FF"/>
    <w:rsid w:val="2803518E"/>
    <w:rsid w:val="28050D91"/>
    <w:rsid w:val="280A73A7"/>
    <w:rsid w:val="280B0292"/>
    <w:rsid w:val="281035C6"/>
    <w:rsid w:val="28140E2A"/>
    <w:rsid w:val="2824417F"/>
    <w:rsid w:val="28255041"/>
    <w:rsid w:val="282B1213"/>
    <w:rsid w:val="2835725E"/>
    <w:rsid w:val="283832F0"/>
    <w:rsid w:val="283A1E3E"/>
    <w:rsid w:val="283F0B9A"/>
    <w:rsid w:val="284543A1"/>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2222"/>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3231C"/>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250F1"/>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4F3166"/>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071F00"/>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B3044"/>
    <w:rsid w:val="32AC6196"/>
    <w:rsid w:val="32AF5A06"/>
    <w:rsid w:val="32B22C9D"/>
    <w:rsid w:val="32BA631C"/>
    <w:rsid w:val="32BC6631"/>
    <w:rsid w:val="32C05B65"/>
    <w:rsid w:val="32C6418D"/>
    <w:rsid w:val="32CD3493"/>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44CAD"/>
    <w:rsid w:val="334D7767"/>
    <w:rsid w:val="33602DC2"/>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6FD6"/>
    <w:rsid w:val="345A7367"/>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45733"/>
    <w:rsid w:val="353834AB"/>
    <w:rsid w:val="3539596F"/>
    <w:rsid w:val="353C4905"/>
    <w:rsid w:val="353C75ED"/>
    <w:rsid w:val="353E791E"/>
    <w:rsid w:val="354008AB"/>
    <w:rsid w:val="354966A2"/>
    <w:rsid w:val="354C7B38"/>
    <w:rsid w:val="354E5473"/>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753B2"/>
    <w:rsid w:val="36D85209"/>
    <w:rsid w:val="36D934D3"/>
    <w:rsid w:val="36D94280"/>
    <w:rsid w:val="36DA1950"/>
    <w:rsid w:val="36DE2053"/>
    <w:rsid w:val="36E07ED3"/>
    <w:rsid w:val="36E222AF"/>
    <w:rsid w:val="36F03F0E"/>
    <w:rsid w:val="36F414F3"/>
    <w:rsid w:val="36F902E0"/>
    <w:rsid w:val="36F97769"/>
    <w:rsid w:val="37002C93"/>
    <w:rsid w:val="37021B28"/>
    <w:rsid w:val="37086DBC"/>
    <w:rsid w:val="370974B4"/>
    <w:rsid w:val="370D0F30"/>
    <w:rsid w:val="37126487"/>
    <w:rsid w:val="371A5A8E"/>
    <w:rsid w:val="371B03AE"/>
    <w:rsid w:val="371E6151"/>
    <w:rsid w:val="37200042"/>
    <w:rsid w:val="37271A7B"/>
    <w:rsid w:val="37277663"/>
    <w:rsid w:val="372A07F2"/>
    <w:rsid w:val="372C34FD"/>
    <w:rsid w:val="37342518"/>
    <w:rsid w:val="37357964"/>
    <w:rsid w:val="373757CA"/>
    <w:rsid w:val="373B5161"/>
    <w:rsid w:val="373D6F58"/>
    <w:rsid w:val="37446333"/>
    <w:rsid w:val="37446A77"/>
    <w:rsid w:val="37491F98"/>
    <w:rsid w:val="374D0B20"/>
    <w:rsid w:val="37557969"/>
    <w:rsid w:val="375D4473"/>
    <w:rsid w:val="37615F3C"/>
    <w:rsid w:val="37663E25"/>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62237"/>
    <w:rsid w:val="3A082ABE"/>
    <w:rsid w:val="3A0A6393"/>
    <w:rsid w:val="3A0E18F6"/>
    <w:rsid w:val="3A0E766B"/>
    <w:rsid w:val="3A181AC2"/>
    <w:rsid w:val="3A1A155D"/>
    <w:rsid w:val="3A1A5D0A"/>
    <w:rsid w:val="3A237175"/>
    <w:rsid w:val="3A264A9F"/>
    <w:rsid w:val="3A2B2AA6"/>
    <w:rsid w:val="3A2E67B0"/>
    <w:rsid w:val="3A37551F"/>
    <w:rsid w:val="3A3D5DAF"/>
    <w:rsid w:val="3A443D4B"/>
    <w:rsid w:val="3A543180"/>
    <w:rsid w:val="3A616CAD"/>
    <w:rsid w:val="3A711C68"/>
    <w:rsid w:val="3A7927E8"/>
    <w:rsid w:val="3A796E46"/>
    <w:rsid w:val="3A7C159F"/>
    <w:rsid w:val="3A81194F"/>
    <w:rsid w:val="3A8B3C77"/>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3F6608"/>
    <w:rsid w:val="3B456D7F"/>
    <w:rsid w:val="3B517555"/>
    <w:rsid w:val="3B553600"/>
    <w:rsid w:val="3B563186"/>
    <w:rsid w:val="3B5E261D"/>
    <w:rsid w:val="3B5F14B4"/>
    <w:rsid w:val="3B616FBE"/>
    <w:rsid w:val="3B683A4D"/>
    <w:rsid w:val="3B6A3CF4"/>
    <w:rsid w:val="3B6D5AE8"/>
    <w:rsid w:val="3B6F5B73"/>
    <w:rsid w:val="3B70725E"/>
    <w:rsid w:val="3B7236B3"/>
    <w:rsid w:val="3B736697"/>
    <w:rsid w:val="3B753F4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BE567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A1B3A"/>
    <w:rsid w:val="3DB17297"/>
    <w:rsid w:val="3DBB6C89"/>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405240"/>
    <w:rsid w:val="3E454B0D"/>
    <w:rsid w:val="3E463CA5"/>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7C4E5B"/>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01597"/>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BA3D8B"/>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B53E3"/>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25E4"/>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C40C2"/>
    <w:rsid w:val="437D3AD8"/>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667944"/>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E6732"/>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82622"/>
    <w:rsid w:val="45BA6033"/>
    <w:rsid w:val="45C85EA2"/>
    <w:rsid w:val="45D9022E"/>
    <w:rsid w:val="45E3021B"/>
    <w:rsid w:val="45E37678"/>
    <w:rsid w:val="45E526A6"/>
    <w:rsid w:val="45E56E31"/>
    <w:rsid w:val="45E66893"/>
    <w:rsid w:val="45E826B2"/>
    <w:rsid w:val="45F4334C"/>
    <w:rsid w:val="460D3781"/>
    <w:rsid w:val="461B7F64"/>
    <w:rsid w:val="461F36FD"/>
    <w:rsid w:val="462D4B2D"/>
    <w:rsid w:val="462D5A2B"/>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971AF"/>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5F5D85"/>
    <w:rsid w:val="4864535D"/>
    <w:rsid w:val="48664A02"/>
    <w:rsid w:val="487141DB"/>
    <w:rsid w:val="48740F16"/>
    <w:rsid w:val="48747A97"/>
    <w:rsid w:val="487A2A25"/>
    <w:rsid w:val="487C0397"/>
    <w:rsid w:val="48850976"/>
    <w:rsid w:val="488C5FA3"/>
    <w:rsid w:val="488D22FD"/>
    <w:rsid w:val="488D7D14"/>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CC7259"/>
    <w:rsid w:val="48D25798"/>
    <w:rsid w:val="48DC218B"/>
    <w:rsid w:val="48EA0E66"/>
    <w:rsid w:val="48F04BA1"/>
    <w:rsid w:val="48F447F8"/>
    <w:rsid w:val="48F612E3"/>
    <w:rsid w:val="48FE11C0"/>
    <w:rsid w:val="48FE59FA"/>
    <w:rsid w:val="49046287"/>
    <w:rsid w:val="49075A63"/>
    <w:rsid w:val="490933FA"/>
    <w:rsid w:val="490A4D2F"/>
    <w:rsid w:val="490A64AF"/>
    <w:rsid w:val="491709CE"/>
    <w:rsid w:val="491B29EF"/>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5C708A"/>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76E09"/>
    <w:rsid w:val="4A9C6332"/>
    <w:rsid w:val="4AA4318E"/>
    <w:rsid w:val="4AA456B8"/>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51CBC"/>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E95517"/>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866AC"/>
    <w:rsid w:val="4E991182"/>
    <w:rsid w:val="4E9E5BA9"/>
    <w:rsid w:val="4E9F5613"/>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736E2"/>
    <w:rsid w:val="4F0F1D99"/>
    <w:rsid w:val="4F155F27"/>
    <w:rsid w:val="4F16131E"/>
    <w:rsid w:val="4F181305"/>
    <w:rsid w:val="4F1A238F"/>
    <w:rsid w:val="4F1D1400"/>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949A4"/>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9569C"/>
    <w:rsid w:val="4FFE1157"/>
    <w:rsid w:val="4FFF3806"/>
    <w:rsid w:val="4FFF49BB"/>
    <w:rsid w:val="5004344D"/>
    <w:rsid w:val="50046739"/>
    <w:rsid w:val="50095827"/>
    <w:rsid w:val="50100572"/>
    <w:rsid w:val="5014542B"/>
    <w:rsid w:val="501535FC"/>
    <w:rsid w:val="50167359"/>
    <w:rsid w:val="50186BF6"/>
    <w:rsid w:val="50211B71"/>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853F2"/>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C5D21"/>
    <w:rsid w:val="50D228CF"/>
    <w:rsid w:val="50D23F25"/>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E0D7A"/>
    <w:rsid w:val="5195533B"/>
    <w:rsid w:val="519645E3"/>
    <w:rsid w:val="5199124A"/>
    <w:rsid w:val="519D2F03"/>
    <w:rsid w:val="51AA27FB"/>
    <w:rsid w:val="51AB0562"/>
    <w:rsid w:val="51AD6F40"/>
    <w:rsid w:val="51AE5103"/>
    <w:rsid w:val="51BE2EAE"/>
    <w:rsid w:val="51C0716E"/>
    <w:rsid w:val="51C24631"/>
    <w:rsid w:val="51CB7850"/>
    <w:rsid w:val="51D42177"/>
    <w:rsid w:val="51D43598"/>
    <w:rsid w:val="51DA51E8"/>
    <w:rsid w:val="51DA5890"/>
    <w:rsid w:val="51E31C77"/>
    <w:rsid w:val="51E90CD5"/>
    <w:rsid w:val="51EE7B3E"/>
    <w:rsid w:val="51F51BD1"/>
    <w:rsid w:val="51F96848"/>
    <w:rsid w:val="51FB40B5"/>
    <w:rsid w:val="52063C95"/>
    <w:rsid w:val="52073487"/>
    <w:rsid w:val="52096D27"/>
    <w:rsid w:val="520A7B89"/>
    <w:rsid w:val="520E648E"/>
    <w:rsid w:val="521C5D43"/>
    <w:rsid w:val="521D7ED7"/>
    <w:rsid w:val="52216835"/>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4C8"/>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85406"/>
    <w:rsid w:val="552D52C7"/>
    <w:rsid w:val="55397CF2"/>
    <w:rsid w:val="5546565D"/>
    <w:rsid w:val="554E0863"/>
    <w:rsid w:val="555737A6"/>
    <w:rsid w:val="55577AFF"/>
    <w:rsid w:val="55597711"/>
    <w:rsid w:val="55611FED"/>
    <w:rsid w:val="556C1CC4"/>
    <w:rsid w:val="55712540"/>
    <w:rsid w:val="55731953"/>
    <w:rsid w:val="55743D64"/>
    <w:rsid w:val="557453D9"/>
    <w:rsid w:val="5577741D"/>
    <w:rsid w:val="557C7C08"/>
    <w:rsid w:val="557E261A"/>
    <w:rsid w:val="558126EC"/>
    <w:rsid w:val="55851522"/>
    <w:rsid w:val="558628A6"/>
    <w:rsid w:val="5587795D"/>
    <w:rsid w:val="55883323"/>
    <w:rsid w:val="55883669"/>
    <w:rsid w:val="558A44CE"/>
    <w:rsid w:val="558B545B"/>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04130"/>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4C616E"/>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F7168"/>
    <w:rsid w:val="57B02763"/>
    <w:rsid w:val="57B476F6"/>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01E3E"/>
    <w:rsid w:val="588509DD"/>
    <w:rsid w:val="588D555E"/>
    <w:rsid w:val="58937684"/>
    <w:rsid w:val="58953B9F"/>
    <w:rsid w:val="58957A8C"/>
    <w:rsid w:val="589968A1"/>
    <w:rsid w:val="589C0BA1"/>
    <w:rsid w:val="589E1D6D"/>
    <w:rsid w:val="589F18E4"/>
    <w:rsid w:val="58A26665"/>
    <w:rsid w:val="58A948C8"/>
    <w:rsid w:val="58B156C4"/>
    <w:rsid w:val="58B47394"/>
    <w:rsid w:val="58B80220"/>
    <w:rsid w:val="58B8443B"/>
    <w:rsid w:val="58B92428"/>
    <w:rsid w:val="58BC4002"/>
    <w:rsid w:val="58C47A68"/>
    <w:rsid w:val="58C6178A"/>
    <w:rsid w:val="58C77385"/>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A0607"/>
    <w:rsid w:val="5B6C5737"/>
    <w:rsid w:val="5B7178CA"/>
    <w:rsid w:val="5B763263"/>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ED723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35B21"/>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400BF0"/>
    <w:rsid w:val="5E4250B0"/>
    <w:rsid w:val="5E4A3E88"/>
    <w:rsid w:val="5E4E539E"/>
    <w:rsid w:val="5E5129DD"/>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02CBB"/>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D0365"/>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03031"/>
    <w:rsid w:val="617305C5"/>
    <w:rsid w:val="61751F59"/>
    <w:rsid w:val="617915C1"/>
    <w:rsid w:val="617C28AF"/>
    <w:rsid w:val="61843F91"/>
    <w:rsid w:val="618520A4"/>
    <w:rsid w:val="618A6058"/>
    <w:rsid w:val="61963257"/>
    <w:rsid w:val="6196670E"/>
    <w:rsid w:val="61972737"/>
    <w:rsid w:val="619C38B4"/>
    <w:rsid w:val="61A4486B"/>
    <w:rsid w:val="61B33DDF"/>
    <w:rsid w:val="61B91DE8"/>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81D61"/>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24E62"/>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6F03DC"/>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127B7"/>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B5DC0"/>
    <w:rsid w:val="645D3A6B"/>
    <w:rsid w:val="64613F6F"/>
    <w:rsid w:val="646310B8"/>
    <w:rsid w:val="646A06E2"/>
    <w:rsid w:val="646C4EF1"/>
    <w:rsid w:val="646C4FB8"/>
    <w:rsid w:val="646D2F37"/>
    <w:rsid w:val="646E15A6"/>
    <w:rsid w:val="64706C6F"/>
    <w:rsid w:val="6471159B"/>
    <w:rsid w:val="647C6852"/>
    <w:rsid w:val="64814078"/>
    <w:rsid w:val="6483791E"/>
    <w:rsid w:val="648421FB"/>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26A06"/>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7243F"/>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A0E0E"/>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750C5"/>
    <w:rsid w:val="6A275D8D"/>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76B40"/>
    <w:rsid w:val="6ABE4FFD"/>
    <w:rsid w:val="6AC91EBE"/>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D2362"/>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668C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A94419"/>
    <w:rsid w:val="6CB242A2"/>
    <w:rsid w:val="6CB710E2"/>
    <w:rsid w:val="6CB92EE5"/>
    <w:rsid w:val="6CBB719C"/>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A7F79"/>
    <w:rsid w:val="6D4B7436"/>
    <w:rsid w:val="6D500998"/>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A86A73"/>
    <w:rsid w:val="6DB20233"/>
    <w:rsid w:val="6DB81D13"/>
    <w:rsid w:val="6DC54D30"/>
    <w:rsid w:val="6DC65806"/>
    <w:rsid w:val="6DCA2F8B"/>
    <w:rsid w:val="6DDF0294"/>
    <w:rsid w:val="6DE9618F"/>
    <w:rsid w:val="6DED02CD"/>
    <w:rsid w:val="6DF02BC2"/>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26398"/>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F2189"/>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9C06B8"/>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B06962"/>
    <w:rsid w:val="74B11DB6"/>
    <w:rsid w:val="74B32215"/>
    <w:rsid w:val="74BC7516"/>
    <w:rsid w:val="74C0607C"/>
    <w:rsid w:val="74C46840"/>
    <w:rsid w:val="74D575AA"/>
    <w:rsid w:val="74D71DDE"/>
    <w:rsid w:val="74D9212C"/>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2F30"/>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3A62B8"/>
    <w:rsid w:val="77422DC5"/>
    <w:rsid w:val="77435747"/>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16819"/>
    <w:rsid w:val="77954E55"/>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4151EC"/>
    <w:rsid w:val="784563AF"/>
    <w:rsid w:val="78480067"/>
    <w:rsid w:val="7849196F"/>
    <w:rsid w:val="78591903"/>
    <w:rsid w:val="785B65FF"/>
    <w:rsid w:val="785D1993"/>
    <w:rsid w:val="785D73A1"/>
    <w:rsid w:val="785E356A"/>
    <w:rsid w:val="78620E7C"/>
    <w:rsid w:val="787659AD"/>
    <w:rsid w:val="788446BE"/>
    <w:rsid w:val="78862765"/>
    <w:rsid w:val="7888219B"/>
    <w:rsid w:val="78883E95"/>
    <w:rsid w:val="78887070"/>
    <w:rsid w:val="788908C8"/>
    <w:rsid w:val="788C3D53"/>
    <w:rsid w:val="78942734"/>
    <w:rsid w:val="78945931"/>
    <w:rsid w:val="78993306"/>
    <w:rsid w:val="78A04E20"/>
    <w:rsid w:val="78A36BF5"/>
    <w:rsid w:val="78A561F3"/>
    <w:rsid w:val="78A953B7"/>
    <w:rsid w:val="78AB3452"/>
    <w:rsid w:val="78B0117B"/>
    <w:rsid w:val="78B706A3"/>
    <w:rsid w:val="78B744F1"/>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7F6D96"/>
    <w:rsid w:val="798C57FA"/>
    <w:rsid w:val="798E4989"/>
    <w:rsid w:val="7990174F"/>
    <w:rsid w:val="799537B4"/>
    <w:rsid w:val="799A4E91"/>
    <w:rsid w:val="79A02BCA"/>
    <w:rsid w:val="79A15149"/>
    <w:rsid w:val="79A37CCA"/>
    <w:rsid w:val="79A715B3"/>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32740"/>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73DE"/>
    <w:rsid w:val="7B1F59AA"/>
    <w:rsid w:val="7B214978"/>
    <w:rsid w:val="7B391012"/>
    <w:rsid w:val="7B394905"/>
    <w:rsid w:val="7B3C5C96"/>
    <w:rsid w:val="7B3E674E"/>
    <w:rsid w:val="7B471906"/>
    <w:rsid w:val="7B4A5781"/>
    <w:rsid w:val="7B4C03D4"/>
    <w:rsid w:val="7B4D01D8"/>
    <w:rsid w:val="7B4E09BF"/>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7576"/>
    <w:rsid w:val="7CB027DF"/>
    <w:rsid w:val="7CB2364E"/>
    <w:rsid w:val="7CB271E9"/>
    <w:rsid w:val="7CB62523"/>
    <w:rsid w:val="7CCA5583"/>
    <w:rsid w:val="7CCE6E72"/>
    <w:rsid w:val="7CCF1812"/>
    <w:rsid w:val="7CD72F9B"/>
    <w:rsid w:val="7CDF394D"/>
    <w:rsid w:val="7CE146B6"/>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8048D"/>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536DE1"/>
    <w:rsid w:val="7F5401C9"/>
    <w:rsid w:val="7F6339F7"/>
    <w:rsid w:val="7F7E49B6"/>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 w:type="character" w:customStyle="1" w:styleId="109">
    <w:name w:val="列表段落 字符"/>
    <w:basedOn w:val="27"/>
    <w:qFormat/>
    <w:uiPriority w:val="0"/>
    <w:rPr>
      <w:rFonts w:hint="default" w:ascii="Calibri" w:hAnsi="Calibri" w:eastAsia="Calibri" w:cs="Calibri"/>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7</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2024-08-09T13:12:38Z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